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C2" w:rsidRPr="00DB74C2" w:rsidRDefault="006B516D" w:rsidP="00DB7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TRN Resource:</w:t>
      </w:r>
      <w:r w:rsidR="005500ED" w:rsidRPr="006B516D">
        <w:rPr>
          <w:b/>
          <w:sz w:val="28"/>
          <w:szCs w:val="28"/>
        </w:rPr>
        <w:t xml:space="preserve"> </w:t>
      </w:r>
      <w:r w:rsidR="00DB74C2">
        <w:rPr>
          <w:b/>
          <w:sz w:val="28"/>
          <w:szCs w:val="28"/>
        </w:rPr>
        <w:t>Risk Assessment Process Flow Overview</w:t>
      </w:r>
    </w:p>
    <w:p w:rsidR="00DB74C2" w:rsidRDefault="00DB74C2" w:rsidP="00DB74C2">
      <w:pPr>
        <w:rPr>
          <w:noProof/>
        </w:rPr>
      </w:pPr>
      <w:bookmarkStart w:id="0" w:name="_Hlk30765079"/>
      <w:r>
        <w:t xml:space="preserve">The </w:t>
      </w:r>
      <w:r w:rsidR="00DC53A6">
        <w:t>Technical Resilience Navigator (</w:t>
      </w:r>
      <w:r>
        <w:t>TRN</w:t>
      </w:r>
      <w:r w:rsidR="00DC53A6">
        <w:t>)</w:t>
      </w:r>
      <w:r>
        <w:t xml:space="preserve"> Risk Assessment module uses two types of resources to guide users through the risk assessment process: </w:t>
      </w:r>
      <w:r w:rsidR="00DC53A6">
        <w:t xml:space="preserve">1) </w:t>
      </w:r>
      <w:r>
        <w:t xml:space="preserve">a Microsoft Word worksheet and </w:t>
      </w:r>
      <w:r w:rsidR="00DC53A6">
        <w:t xml:space="preserve">2) </w:t>
      </w:r>
      <w:r>
        <w:t>an Excel workbook. The diagram below shows the relationship and suggested flow for users to use both sets of resources to</w:t>
      </w:r>
      <w:r w:rsidR="00DC53A6">
        <w:t xml:space="preserve"> the</w:t>
      </w:r>
      <w:r>
        <w:t xml:space="preserve"> best effect.</w:t>
      </w:r>
      <w:bookmarkEnd w:id="0"/>
    </w:p>
    <w:p w:rsidR="00DB74C2" w:rsidRPr="00434480" w:rsidRDefault="00DB74C2" w:rsidP="00DB74C2">
      <w:pPr>
        <w:pStyle w:val="Heading2"/>
        <w:rPr>
          <w:b/>
          <w:color w:val="5B9BD5" w:themeColor="accent5"/>
        </w:rPr>
      </w:pPr>
    </w:p>
    <w:p w:rsidR="00DB74C2" w:rsidRPr="00FE05C1" w:rsidRDefault="009B6F48" w:rsidP="00DB74C2">
      <w:pPr>
        <w:pStyle w:val="CommentText"/>
        <w:spacing w:after="0"/>
        <w:rPr>
          <w:sz w:val="22"/>
        </w:rPr>
      </w:pPr>
      <w:r w:rsidRPr="009B6F48">
        <w:rPr>
          <w:noProof/>
          <w:sz w:val="22"/>
        </w:rPr>
        <w:drawing>
          <wp:inline distT="0" distB="0" distL="0" distR="0" wp14:anchorId="43435231" wp14:editId="53B4E263">
            <wp:extent cx="5943600" cy="3702211"/>
            <wp:effectExtent l="0" t="0" r="0" b="0"/>
            <wp:docPr id="3" name="Picture 3" descr="C:\Users\hannah.rabinowitz\AppData\Local\Microsoft\Windows\Temporary Internet Files\Content.Outlook\2YUUJKYV\Risk Assessment Logic Model 2020-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rabinowitz\AppData\Local\Microsoft\Windows\Temporary Internet Files\Content.Outlook\2YUUJKYV\Risk Assessment Logic Model 2020-03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ED" w:rsidRDefault="005500ED" w:rsidP="00DB74C2"/>
    <w:sectPr w:rsidR="005500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F9" w:rsidRDefault="00EC58F9" w:rsidP="00FC1EF0">
      <w:pPr>
        <w:spacing w:after="0" w:line="240" w:lineRule="auto"/>
      </w:pPr>
      <w:r>
        <w:separator/>
      </w:r>
    </w:p>
  </w:endnote>
  <w:endnote w:type="continuationSeparator" w:id="0">
    <w:p w:rsidR="00EC58F9" w:rsidRDefault="00EC58F9" w:rsidP="00F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A7" w:rsidRDefault="00974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0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942" w:rsidRDefault="00722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942" w:rsidRDefault="00722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A7" w:rsidRDefault="0097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F9" w:rsidRDefault="00EC58F9" w:rsidP="00FC1EF0">
      <w:pPr>
        <w:spacing w:after="0" w:line="240" w:lineRule="auto"/>
      </w:pPr>
      <w:r>
        <w:separator/>
      </w:r>
    </w:p>
  </w:footnote>
  <w:footnote w:type="continuationSeparator" w:id="0">
    <w:p w:rsidR="00EC58F9" w:rsidRDefault="00EC58F9" w:rsidP="00FC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A7" w:rsidRDefault="00974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F0" w:rsidRDefault="00FC1EF0" w:rsidP="00FC1EF0">
    <w:pPr>
      <w:pStyle w:val="Header"/>
    </w:pPr>
    <w:bookmarkStart w:id="1" w:name="_GoBack"/>
    <w:r>
      <w:rPr>
        <w:noProof/>
      </w:rPr>
      <w:drawing>
        <wp:inline distT="0" distB="0" distL="0" distR="0" wp14:anchorId="17ECB968" wp14:editId="6F919170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r>
      <w:tab/>
    </w:r>
    <w:r w:rsidRPr="00E42FB3">
      <w:rPr>
        <w:sz w:val="32"/>
      </w:rPr>
      <w:t>Technical Resilience Navigator</w:t>
    </w:r>
  </w:p>
  <w:p w:rsidR="00FC1EF0" w:rsidRDefault="00FC1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A7" w:rsidRDefault="0097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ED"/>
    <w:rsid w:val="000F7F17"/>
    <w:rsid w:val="00161D6B"/>
    <w:rsid w:val="0024298C"/>
    <w:rsid w:val="00291372"/>
    <w:rsid w:val="005155C0"/>
    <w:rsid w:val="00516E78"/>
    <w:rsid w:val="005500ED"/>
    <w:rsid w:val="006B516D"/>
    <w:rsid w:val="00722942"/>
    <w:rsid w:val="009743A7"/>
    <w:rsid w:val="009B6F48"/>
    <w:rsid w:val="00A84134"/>
    <w:rsid w:val="00BD769C"/>
    <w:rsid w:val="00C42B2A"/>
    <w:rsid w:val="00C71EB6"/>
    <w:rsid w:val="00CB6598"/>
    <w:rsid w:val="00CF3AEE"/>
    <w:rsid w:val="00D604BB"/>
    <w:rsid w:val="00DA6058"/>
    <w:rsid w:val="00DB74C2"/>
    <w:rsid w:val="00DC53A6"/>
    <w:rsid w:val="00E25FB4"/>
    <w:rsid w:val="00EC58F9"/>
    <w:rsid w:val="00ED07C0"/>
    <w:rsid w:val="00ED2840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C5B6F-F7E0-47FB-B7E3-63BCF4E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ED"/>
  </w:style>
  <w:style w:type="paragraph" w:styleId="Heading1">
    <w:name w:val="heading 1"/>
    <w:basedOn w:val="Normal"/>
    <w:next w:val="Normal"/>
    <w:link w:val="Heading1Char"/>
    <w:uiPriority w:val="9"/>
    <w:qFormat/>
    <w:rsid w:val="00550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00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0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F0"/>
  </w:style>
  <w:style w:type="paragraph" w:styleId="Footer">
    <w:name w:val="footer"/>
    <w:basedOn w:val="Normal"/>
    <w:link w:val="FooterChar"/>
    <w:uiPriority w:val="99"/>
    <w:unhideWhenUsed/>
    <w:rsid w:val="00FC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F0"/>
  </w:style>
  <w:style w:type="character" w:customStyle="1" w:styleId="Heading2Char">
    <w:name w:val="Heading 2 Char"/>
    <w:basedOn w:val="DefaultParagraphFont"/>
    <w:link w:val="Heading2"/>
    <w:uiPriority w:val="9"/>
    <w:rsid w:val="00DB7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DB7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4C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769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2755-6113-43D5-817C-62615748F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B62FC-C50F-41AE-8BE7-7401A098BE5F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A6A4D4-5795-46C5-89CE-5145D7269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8FDDA-657F-4186-B73D-31863FB645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19B6A8-8663-4212-960E-980AE190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Rotondo, Julia A</dc:creator>
  <cp:keywords/>
  <dc:description/>
  <cp:lastModifiedBy>Michael Muller</cp:lastModifiedBy>
  <cp:revision>6</cp:revision>
  <dcterms:created xsi:type="dcterms:W3CDTF">2020-03-11T16:57:00Z</dcterms:created>
  <dcterms:modified xsi:type="dcterms:W3CDTF">2020-05-23T14:37:00Z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