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2B" w:rsidRDefault="002C122B" w:rsidP="002C122B">
      <w:pPr>
        <w:rPr>
          <w:b/>
          <w:sz w:val="28"/>
        </w:rPr>
      </w:pPr>
      <w:r>
        <w:rPr>
          <w:b/>
          <w:sz w:val="28"/>
        </w:rPr>
        <w:t>Solution Prioritization Action 3 Worksheet: Solution Priorities and Costs</w:t>
      </w:r>
    </w:p>
    <w:p w:rsidR="002C122B" w:rsidRPr="00E26D7F" w:rsidRDefault="002C122B" w:rsidP="002C122B">
      <w:pPr>
        <w:spacing w:line="240" w:lineRule="auto"/>
        <w:rPr>
          <w:rFonts w:cstheme="minorHAnsi"/>
          <w:color w:val="000000" w:themeColor="text1"/>
          <w:szCs w:val="24"/>
        </w:rPr>
      </w:pPr>
      <w:r w:rsidRPr="00E26D7F">
        <w:rPr>
          <w:rFonts w:cstheme="minorHAnsi"/>
          <w:color w:val="000000" w:themeColor="text1"/>
          <w:szCs w:val="24"/>
        </w:rPr>
        <w:t>Worksheet Last Updated By: ____________________________</w:t>
      </w:r>
    </w:p>
    <w:p w:rsidR="002C122B" w:rsidRPr="00E26D7F" w:rsidRDefault="002C122B" w:rsidP="002C122B">
      <w:pPr>
        <w:spacing w:line="240" w:lineRule="auto"/>
        <w:rPr>
          <w:rFonts w:cstheme="minorHAnsi"/>
          <w:color w:val="000000" w:themeColor="text1"/>
          <w:szCs w:val="24"/>
        </w:rPr>
      </w:pPr>
      <w:r w:rsidRPr="00E26D7F">
        <w:rPr>
          <w:rFonts w:cstheme="minorHAnsi"/>
          <w:color w:val="000000" w:themeColor="text1"/>
          <w:szCs w:val="24"/>
        </w:rPr>
        <w:t>Worksheet Last Updated On: ____________________________</w:t>
      </w:r>
    </w:p>
    <w:p w:rsidR="002C122B" w:rsidRDefault="002C122B" w:rsidP="002C122B">
      <w:pPr>
        <w:rPr>
          <w:u w:val="single"/>
        </w:rPr>
      </w:pPr>
    </w:p>
    <w:p w:rsidR="002C122B" w:rsidRPr="001A5459" w:rsidRDefault="002C122B" w:rsidP="002C122B">
      <w:pPr>
        <w:rPr>
          <w:u w:val="single"/>
        </w:rPr>
      </w:pPr>
      <w:r>
        <w:rPr>
          <w:u w:val="single"/>
        </w:rPr>
        <w:t xml:space="preserve">Step 1: </w:t>
      </w:r>
      <w:r w:rsidRPr="001A5459">
        <w:rPr>
          <w:u w:val="single"/>
        </w:rPr>
        <w:t>Identify and Weight Criteria for Decision</w:t>
      </w:r>
      <w:r>
        <w:rPr>
          <w:u w:val="single"/>
        </w:rPr>
        <w:t>-</w:t>
      </w:r>
      <w:r w:rsidRPr="001A5459">
        <w:rPr>
          <w:u w:val="single"/>
        </w:rPr>
        <w:t>Making</w:t>
      </w:r>
    </w:p>
    <w:p w:rsidR="002C122B" w:rsidRPr="000E7078" w:rsidRDefault="002C122B" w:rsidP="002C122B">
      <w:pPr>
        <w:rPr>
          <w:rFonts w:cstheme="minorHAnsi"/>
        </w:rPr>
      </w:pPr>
      <w:r w:rsidRPr="000E7078">
        <w:rPr>
          <w:rFonts w:cstheme="minorHAnsi"/>
        </w:rPr>
        <w:t xml:space="preserve">The TRN uses risk reduction potential as a default </w:t>
      </w:r>
      <w:r>
        <w:rPr>
          <w:rFonts w:cstheme="minorHAnsi"/>
        </w:rPr>
        <w:t xml:space="preserve">criterion for solution prioritization; however, it will be important to also consider other site priorities when evaluating resilience solutions. </w:t>
      </w:r>
      <w:r w:rsidRPr="000E7078">
        <w:rPr>
          <w:rFonts w:cstheme="minorHAnsi"/>
        </w:rPr>
        <w:t xml:space="preserve">Consider the prioritization criteria at the site and record </w:t>
      </w:r>
      <w:r>
        <w:rPr>
          <w:rFonts w:cstheme="minorHAnsi"/>
        </w:rPr>
        <w:t>the prioritization criteria</w:t>
      </w:r>
      <w:r w:rsidRPr="000E7078">
        <w:rPr>
          <w:rFonts w:cstheme="minorHAnsi"/>
        </w:rPr>
        <w:t xml:space="preserve"> that will be used for decision-making in the table</w:t>
      </w:r>
      <w:r>
        <w:rPr>
          <w:rFonts w:cstheme="minorHAnsi"/>
        </w:rPr>
        <w:t xml:space="preserve"> below</w:t>
      </w:r>
      <w:r w:rsidRPr="000E7078">
        <w:rPr>
          <w:rFonts w:cstheme="minorHAnsi"/>
        </w:rPr>
        <w:t>. Possible solution prioritization criteria may include items such as:</w:t>
      </w:r>
    </w:p>
    <w:p w:rsidR="002C122B" w:rsidRPr="000E7078" w:rsidRDefault="002C122B" w:rsidP="002C122B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Urgency of addressing resilience gap</w:t>
      </w:r>
    </w:p>
    <w:p w:rsidR="002C122B" w:rsidRPr="000E7078" w:rsidRDefault="002C122B" w:rsidP="002C122B">
      <w:pPr>
        <w:pStyle w:val="ListParagraph"/>
        <w:numPr>
          <w:ilvl w:val="0"/>
          <w:numId w:val="11"/>
        </w:numPr>
        <w:rPr>
          <w:rFonts w:cstheme="minorHAnsi"/>
        </w:rPr>
      </w:pPr>
      <w:r w:rsidRPr="000E7078">
        <w:rPr>
          <w:rFonts w:cstheme="minorHAnsi"/>
        </w:rPr>
        <w:t>Ease of implementation</w:t>
      </w:r>
    </w:p>
    <w:p w:rsidR="002C122B" w:rsidRPr="000E7078" w:rsidRDefault="002C122B" w:rsidP="002C122B">
      <w:pPr>
        <w:pStyle w:val="ListParagraph"/>
        <w:numPr>
          <w:ilvl w:val="0"/>
          <w:numId w:val="11"/>
        </w:numPr>
        <w:rPr>
          <w:rFonts w:cstheme="minorHAnsi"/>
        </w:rPr>
      </w:pPr>
      <w:r w:rsidRPr="000E7078">
        <w:rPr>
          <w:rFonts w:cstheme="minorHAnsi"/>
        </w:rPr>
        <w:t>Alignment with existing project and/or site priorities</w:t>
      </w:r>
    </w:p>
    <w:p w:rsidR="002C122B" w:rsidRDefault="002C122B" w:rsidP="002C122B">
      <w:pPr>
        <w:pStyle w:val="ListParagraph"/>
        <w:numPr>
          <w:ilvl w:val="0"/>
          <w:numId w:val="11"/>
        </w:numPr>
        <w:rPr>
          <w:rFonts w:cstheme="minorHAnsi"/>
        </w:rPr>
      </w:pPr>
      <w:r w:rsidRPr="000E7078">
        <w:rPr>
          <w:rFonts w:cstheme="minorHAnsi"/>
        </w:rPr>
        <w:t xml:space="preserve">Satisfaction of organizational </w:t>
      </w:r>
      <w:r>
        <w:rPr>
          <w:rFonts w:cstheme="minorHAnsi"/>
        </w:rPr>
        <w:t>policies</w:t>
      </w:r>
    </w:p>
    <w:p w:rsidR="002C122B" w:rsidRDefault="002C122B" w:rsidP="002C122B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Alignment with sustainability standards</w:t>
      </w:r>
    </w:p>
    <w:p w:rsidR="002C122B" w:rsidRDefault="002C122B" w:rsidP="002C122B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Alignment with energy and/or water efficiency standards</w:t>
      </w:r>
    </w:p>
    <w:p w:rsidR="002C122B" w:rsidRPr="000E7078" w:rsidRDefault="002C122B" w:rsidP="002C122B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Alignment with environmental management standards.</w:t>
      </w:r>
    </w:p>
    <w:p w:rsidR="002C122B" w:rsidRDefault="002C122B" w:rsidP="002C122B">
      <w:pPr>
        <w:rPr>
          <w:rFonts w:cstheme="minorHAnsi"/>
        </w:rPr>
      </w:pPr>
      <w:r w:rsidRPr="000E7078">
        <w:rPr>
          <w:rFonts w:cstheme="minorHAnsi"/>
        </w:rPr>
        <w:t xml:space="preserve">Items such as life, health, and safety should not be included as stand-alone </w:t>
      </w:r>
      <w:r>
        <w:rPr>
          <w:rFonts w:cstheme="minorHAnsi"/>
        </w:rPr>
        <w:t xml:space="preserve">prioritization </w:t>
      </w:r>
      <w:r w:rsidRPr="000E7078">
        <w:rPr>
          <w:rFonts w:cstheme="minorHAnsi"/>
        </w:rPr>
        <w:t>criteria</w:t>
      </w:r>
      <w:r>
        <w:rPr>
          <w:rFonts w:cstheme="minorHAnsi"/>
        </w:rPr>
        <w:t>,</w:t>
      </w:r>
      <w:r w:rsidRPr="000E7078">
        <w:rPr>
          <w:rFonts w:cstheme="minorHAnsi"/>
        </w:rPr>
        <w:t xml:space="preserve"> as they </w:t>
      </w:r>
      <w:r>
        <w:rPr>
          <w:rFonts w:cstheme="minorHAnsi"/>
        </w:rPr>
        <w:t>sh</w:t>
      </w:r>
      <w:r w:rsidRPr="000E7078">
        <w:rPr>
          <w:rFonts w:cstheme="minorHAnsi"/>
        </w:rPr>
        <w:t xml:space="preserve">ould already be captured in criticality weighting factors from </w:t>
      </w:r>
      <w:r>
        <w:rPr>
          <w:rFonts w:cstheme="minorHAnsi"/>
        </w:rPr>
        <w:t xml:space="preserve">the </w:t>
      </w:r>
      <w:r w:rsidRPr="000E7078">
        <w:rPr>
          <w:rFonts w:cstheme="minorHAnsi"/>
        </w:rPr>
        <w:t>Site-Level Planning and Risk Assessment</w:t>
      </w:r>
      <w:r>
        <w:rPr>
          <w:rFonts w:cstheme="minorHAnsi"/>
        </w:rPr>
        <w:t xml:space="preserve"> modules</w:t>
      </w:r>
      <w:r w:rsidRPr="000E7078">
        <w:rPr>
          <w:rFonts w:cstheme="minorHAnsi"/>
        </w:rPr>
        <w:t>. Similarly, solution cost should not be included as a stand-alone</w:t>
      </w:r>
      <w:r>
        <w:rPr>
          <w:rFonts w:cstheme="minorHAnsi"/>
        </w:rPr>
        <w:t xml:space="preserve"> prioritization</w:t>
      </w:r>
      <w:r w:rsidRPr="000E7078">
        <w:rPr>
          <w:rFonts w:cstheme="minorHAnsi"/>
        </w:rPr>
        <w:t xml:space="preserve"> criterion</w:t>
      </w:r>
      <w:r>
        <w:rPr>
          <w:rFonts w:cstheme="minorHAnsi"/>
        </w:rPr>
        <w:t>,</w:t>
      </w:r>
      <w:r w:rsidRPr="000E7078">
        <w:rPr>
          <w:rFonts w:cstheme="minorHAnsi"/>
        </w:rPr>
        <w:t xml:space="preserve"> as it will be addressed </w:t>
      </w:r>
      <w:r>
        <w:rPr>
          <w:rFonts w:cstheme="minorHAnsi"/>
        </w:rPr>
        <w:t xml:space="preserve">separately </w:t>
      </w:r>
      <w:r w:rsidRPr="000E7078">
        <w:rPr>
          <w:rFonts w:cstheme="minorHAnsi"/>
        </w:rPr>
        <w:t>in the activity</w:t>
      </w:r>
      <w:r>
        <w:rPr>
          <w:rFonts w:cstheme="minorHAnsi"/>
        </w:rPr>
        <w:t xml:space="preserve"> below</w:t>
      </w:r>
      <w:r w:rsidRPr="000E7078">
        <w:rPr>
          <w:rFonts w:cstheme="minorHAnsi"/>
        </w:rPr>
        <w:t xml:space="preserve">. As a practical matter, the TRN does not recommend considering more than </w:t>
      </w:r>
      <w:r>
        <w:rPr>
          <w:rFonts w:cstheme="minorHAnsi"/>
        </w:rPr>
        <w:t>six</w:t>
      </w:r>
      <w:r w:rsidRPr="000E7078">
        <w:rPr>
          <w:rFonts w:cstheme="minorHAnsi"/>
        </w:rPr>
        <w:t xml:space="preserve"> total </w:t>
      </w:r>
      <w:r>
        <w:rPr>
          <w:rFonts w:cstheme="minorHAnsi"/>
        </w:rPr>
        <w:t xml:space="preserve">prioritization </w:t>
      </w:r>
      <w:r w:rsidRPr="000E7078">
        <w:rPr>
          <w:rFonts w:cstheme="minorHAnsi"/>
        </w:rPr>
        <w:t xml:space="preserve">criteria (risk reduction potential included) to ensure that the weights provide an actionable outcome. </w:t>
      </w:r>
    </w:p>
    <w:p w:rsidR="002C122B" w:rsidRPr="000E7078" w:rsidRDefault="002C122B" w:rsidP="002C122B">
      <w:pPr>
        <w:rPr>
          <w:rFonts w:cstheme="minorHAnsi"/>
        </w:rPr>
      </w:pPr>
      <w:r>
        <w:rPr>
          <w:rFonts w:cstheme="minorHAnsi"/>
        </w:rPr>
        <w:t>Once prioritization criteria have been identified, a</w:t>
      </w:r>
      <w:r w:rsidRPr="000E7078">
        <w:rPr>
          <w:rFonts w:cstheme="minorHAnsi"/>
        </w:rPr>
        <w:t>ssign each criteri</w:t>
      </w:r>
      <w:r>
        <w:rPr>
          <w:rFonts w:cstheme="minorHAnsi"/>
        </w:rPr>
        <w:t>on</w:t>
      </w:r>
      <w:r w:rsidRPr="000E7078">
        <w:rPr>
          <w:rFonts w:cstheme="minorHAnsi"/>
        </w:rPr>
        <w:t xml:space="preserve"> a weight</w:t>
      </w:r>
      <w:r>
        <w:rPr>
          <w:rFonts w:cstheme="minorHAnsi"/>
        </w:rPr>
        <w:t>. These weights determine the relative importance of each criterion in determining the resilience potential of each solution. The weights of all prioritization criteria,</w:t>
      </w:r>
      <w:r w:rsidRPr="008C2696">
        <w:rPr>
          <w:rFonts w:cstheme="minorHAnsi"/>
        </w:rPr>
        <w:t xml:space="preserve"> </w:t>
      </w:r>
      <w:r w:rsidRPr="000E7078">
        <w:rPr>
          <w:rFonts w:cstheme="minorHAnsi"/>
        </w:rPr>
        <w:t>including risk reduction potential</w:t>
      </w:r>
      <w:r>
        <w:rPr>
          <w:rFonts w:cstheme="minorHAnsi"/>
        </w:rPr>
        <w:t>, should sum</w:t>
      </w:r>
      <w:r w:rsidRPr="000E7078">
        <w:rPr>
          <w:rFonts w:cstheme="minorHAnsi"/>
        </w:rPr>
        <w:t xml:space="preserve"> to 1.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2250"/>
      </w:tblGrid>
      <w:tr w:rsidR="002C122B" w:rsidRPr="000E7078" w:rsidTr="0021699C">
        <w:trPr>
          <w:jc w:val="center"/>
        </w:trPr>
        <w:tc>
          <w:tcPr>
            <w:tcW w:w="4675" w:type="dxa"/>
            <w:shd w:val="clear" w:color="auto" w:fill="A5A5A5" w:themeFill="accent3"/>
            <w:vAlign w:val="center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7078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2250" w:type="dxa"/>
            <w:shd w:val="clear" w:color="auto" w:fill="A5A5A5" w:themeFill="accent3"/>
            <w:vAlign w:val="center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7078">
              <w:rPr>
                <w:rFonts w:asciiTheme="minorHAnsi" w:hAnsiTheme="minorHAnsi" w:cstheme="minorHAnsi"/>
                <w:b/>
              </w:rPr>
              <w:t>Criteria Weight</w:t>
            </w:r>
          </w:p>
        </w:tc>
      </w:tr>
      <w:tr w:rsidR="002C122B" w:rsidRPr="000E7078" w:rsidTr="0021699C">
        <w:trPr>
          <w:jc w:val="center"/>
        </w:trPr>
        <w:tc>
          <w:tcPr>
            <w:tcW w:w="4675" w:type="dxa"/>
            <w:shd w:val="clear" w:color="auto" w:fill="E7E6E6" w:themeFill="background2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Risk Reduction Potential</w:t>
            </w:r>
          </w:p>
        </w:tc>
        <w:tc>
          <w:tcPr>
            <w:tcW w:w="2250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122B" w:rsidRPr="000E7078" w:rsidTr="0021699C">
        <w:trPr>
          <w:jc w:val="center"/>
        </w:trPr>
        <w:tc>
          <w:tcPr>
            <w:tcW w:w="4675" w:type="dxa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122B" w:rsidRPr="000E7078" w:rsidTr="0021699C">
        <w:trPr>
          <w:jc w:val="center"/>
        </w:trPr>
        <w:tc>
          <w:tcPr>
            <w:tcW w:w="4675" w:type="dxa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122B" w:rsidRPr="000E7078" w:rsidTr="0021699C">
        <w:trPr>
          <w:jc w:val="center"/>
        </w:trPr>
        <w:tc>
          <w:tcPr>
            <w:tcW w:w="4675" w:type="dxa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122B" w:rsidRPr="000E7078" w:rsidTr="0021699C">
        <w:trPr>
          <w:jc w:val="center"/>
        </w:trPr>
        <w:tc>
          <w:tcPr>
            <w:tcW w:w="4675" w:type="dxa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122B" w:rsidRPr="000E7078" w:rsidTr="0021699C">
        <w:trPr>
          <w:jc w:val="center"/>
        </w:trPr>
        <w:tc>
          <w:tcPr>
            <w:tcW w:w="4675" w:type="dxa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122B" w:rsidRPr="000E7078" w:rsidTr="0021699C">
        <w:trPr>
          <w:jc w:val="center"/>
        </w:trPr>
        <w:tc>
          <w:tcPr>
            <w:tcW w:w="4675" w:type="dxa"/>
          </w:tcPr>
          <w:p w:rsidR="002C122B" w:rsidRPr="000E7078" w:rsidRDefault="002C122B" w:rsidP="0021699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E707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2250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1</w:t>
            </w:r>
          </w:p>
        </w:tc>
      </w:tr>
    </w:tbl>
    <w:p w:rsidR="002C122B" w:rsidRPr="000E7078" w:rsidRDefault="002C122B" w:rsidP="002C122B">
      <w:pPr>
        <w:rPr>
          <w:rFonts w:cstheme="minorHAnsi"/>
          <w:b/>
          <w:bCs/>
        </w:rPr>
      </w:pPr>
    </w:p>
    <w:p w:rsidR="002C122B" w:rsidRDefault="002C122B" w:rsidP="002C122B">
      <w:pPr>
        <w:rPr>
          <w:rFonts w:cstheme="minorHAnsi"/>
        </w:rPr>
      </w:pPr>
      <w:r>
        <w:rPr>
          <w:rFonts w:cstheme="minorHAnsi"/>
        </w:rPr>
        <w:t>For offline users, t</w:t>
      </w:r>
      <w:r w:rsidRPr="000E7078">
        <w:rPr>
          <w:rFonts w:cstheme="minorHAnsi"/>
        </w:rPr>
        <w:t xml:space="preserve">his table is used as input in </w:t>
      </w:r>
      <w:r w:rsidRPr="005E04A0">
        <w:rPr>
          <w:rFonts w:cstheme="minorHAnsi"/>
          <w:b/>
          <w:color w:val="5B9BD5" w:themeColor="accent1"/>
          <w:u w:val="double"/>
        </w:rPr>
        <w:t>Tab 3</w:t>
      </w:r>
      <w:r w:rsidRPr="000E7078">
        <w:rPr>
          <w:rFonts w:cstheme="minorHAnsi"/>
        </w:rPr>
        <w:t xml:space="preserve"> in the Solution Prioritization Excel </w:t>
      </w:r>
      <w:r>
        <w:rPr>
          <w:rFonts w:cstheme="minorHAnsi"/>
        </w:rPr>
        <w:t>workbook</w:t>
      </w:r>
      <w:r w:rsidRPr="000E7078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2C122B" w:rsidRDefault="002C122B" w:rsidP="002C122B">
      <w:pPr>
        <w:rPr>
          <w:rFonts w:cstheme="minorHAnsi"/>
          <w:u w:val="single"/>
        </w:rPr>
      </w:pPr>
    </w:p>
    <w:p w:rsidR="002C122B" w:rsidRDefault="002C122B" w:rsidP="002C122B">
      <w:pPr>
        <w:rPr>
          <w:rFonts w:cstheme="minorHAnsi"/>
          <w:u w:val="single"/>
        </w:rPr>
      </w:pPr>
    </w:p>
    <w:p w:rsidR="002C122B" w:rsidRPr="001A5459" w:rsidRDefault="002C122B" w:rsidP="002C122B">
      <w:pPr>
        <w:rPr>
          <w:rFonts w:cstheme="minorHAnsi"/>
          <w:u w:val="single"/>
        </w:rPr>
      </w:pPr>
      <w:r>
        <w:rPr>
          <w:rFonts w:cstheme="minorHAnsi"/>
          <w:u w:val="single"/>
        </w:rPr>
        <w:lastRenderedPageBreak/>
        <w:t xml:space="preserve">Step 2: </w:t>
      </w:r>
      <w:r w:rsidRPr="001A5459">
        <w:rPr>
          <w:rFonts w:cstheme="minorHAnsi"/>
          <w:u w:val="single"/>
        </w:rPr>
        <w:t xml:space="preserve">Estimate Costs </w:t>
      </w:r>
    </w:p>
    <w:p w:rsidR="002C122B" w:rsidRPr="000E7078" w:rsidRDefault="002C122B" w:rsidP="002C122B">
      <w:pPr>
        <w:rPr>
          <w:rFonts w:cstheme="minorHAnsi"/>
        </w:rPr>
      </w:pPr>
      <w:r w:rsidRPr="000E7078">
        <w:rPr>
          <w:rFonts w:cstheme="minorHAnsi"/>
        </w:rPr>
        <w:t>Develop a rough order of magnitude range (</w:t>
      </w:r>
      <w:r>
        <w:rPr>
          <w:rFonts w:cstheme="minorHAnsi"/>
        </w:rPr>
        <w:t xml:space="preserve">e.g., </w:t>
      </w:r>
      <w:r w:rsidRPr="000E7078">
        <w:rPr>
          <w:rFonts w:cstheme="minorHAnsi"/>
        </w:rPr>
        <w:t>under $100</w:t>
      </w:r>
      <w:r>
        <w:rPr>
          <w:rFonts w:cstheme="minorHAnsi"/>
        </w:rPr>
        <w:t>,000</w:t>
      </w:r>
      <w:r w:rsidRPr="000E7078">
        <w:rPr>
          <w:rFonts w:cstheme="minorHAnsi"/>
        </w:rPr>
        <w:t>, $200</w:t>
      </w:r>
      <w:r>
        <w:rPr>
          <w:rFonts w:cstheme="minorHAnsi"/>
        </w:rPr>
        <w:t>,000</w:t>
      </w:r>
      <w:r w:rsidRPr="000E7078">
        <w:rPr>
          <w:rFonts w:cstheme="minorHAnsi"/>
        </w:rPr>
        <w:t>–</w:t>
      </w:r>
      <w:r>
        <w:rPr>
          <w:rFonts w:cstheme="minorHAnsi"/>
        </w:rPr>
        <w:t>$</w:t>
      </w:r>
      <w:r w:rsidRPr="000E7078">
        <w:rPr>
          <w:rFonts w:cstheme="minorHAnsi"/>
        </w:rPr>
        <w:t>500,</w:t>
      </w:r>
      <w:r>
        <w:rPr>
          <w:rFonts w:cstheme="minorHAnsi"/>
        </w:rPr>
        <w:t>000,</w:t>
      </w:r>
      <w:r w:rsidRPr="000E7078">
        <w:rPr>
          <w:rFonts w:cstheme="minorHAnsi"/>
        </w:rPr>
        <w:t xml:space="preserve"> </w:t>
      </w:r>
      <w:r>
        <w:rPr>
          <w:rFonts w:cstheme="minorHAnsi"/>
        </w:rPr>
        <w:t>and so on</w:t>
      </w:r>
      <w:r w:rsidRPr="000E7078">
        <w:rPr>
          <w:rFonts w:cstheme="minorHAnsi"/>
        </w:rPr>
        <w:t>) for each category to fill in the table</w:t>
      </w:r>
      <w:r>
        <w:rPr>
          <w:rFonts w:cstheme="minorHAnsi"/>
        </w:rPr>
        <w:t xml:space="preserve"> below</w:t>
      </w:r>
      <w:r w:rsidRPr="000E7078">
        <w:rPr>
          <w:rFonts w:cstheme="minorHAnsi"/>
        </w:rPr>
        <w:t xml:space="preserve">. The TRN uses a default 10-year total cost category, but the TRN Solution Prioritization Excel model allows </w:t>
      </w:r>
      <w:r>
        <w:rPr>
          <w:rFonts w:cstheme="minorHAnsi"/>
        </w:rPr>
        <w:t>you</w:t>
      </w:r>
      <w:r w:rsidRPr="000E7078">
        <w:rPr>
          <w:rFonts w:cstheme="minorHAnsi"/>
        </w:rPr>
        <w:t xml:space="preserve"> to ch</w:t>
      </w:r>
      <w:r>
        <w:rPr>
          <w:rFonts w:cstheme="minorHAnsi"/>
        </w:rPr>
        <w:t>o</w:t>
      </w:r>
      <w:r w:rsidRPr="000E7078">
        <w:rPr>
          <w:rFonts w:cstheme="minorHAnsi"/>
        </w:rPr>
        <w:t>ose alternative time periods</w:t>
      </w:r>
      <w:r>
        <w:rPr>
          <w:rFonts w:cstheme="minorHAnsi"/>
        </w:rPr>
        <w:t>,</w:t>
      </w:r>
      <w:r w:rsidRPr="000E7078">
        <w:rPr>
          <w:rFonts w:cstheme="minorHAnsi"/>
        </w:rPr>
        <w:t xml:space="preserve"> such as 20</w:t>
      </w:r>
      <w:r>
        <w:rPr>
          <w:rFonts w:cstheme="minorHAnsi"/>
        </w:rPr>
        <w:t xml:space="preserve"> </w:t>
      </w:r>
      <w:r w:rsidRPr="000E7078">
        <w:rPr>
          <w:rFonts w:cstheme="minorHAnsi"/>
        </w:rPr>
        <w:t>years. Update the table header below if your site will use another time period for consideration of total cost.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2787"/>
      </w:tblGrid>
      <w:tr w:rsidR="002C122B" w:rsidRPr="000E7078" w:rsidTr="0021699C">
        <w:trPr>
          <w:trHeight w:val="576"/>
          <w:jc w:val="center"/>
        </w:trPr>
        <w:tc>
          <w:tcPr>
            <w:tcW w:w="2039" w:type="dxa"/>
            <w:shd w:val="clear" w:color="auto" w:fill="A5A5A5" w:themeFill="accent3"/>
            <w:vAlign w:val="center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7078">
              <w:rPr>
                <w:rFonts w:asciiTheme="minorHAnsi" w:hAnsiTheme="minorHAnsi" w:cstheme="minorHAnsi"/>
                <w:b/>
              </w:rPr>
              <w:t>Cost Category</w:t>
            </w:r>
          </w:p>
        </w:tc>
        <w:tc>
          <w:tcPr>
            <w:tcW w:w="2787" w:type="dxa"/>
            <w:shd w:val="clear" w:color="auto" w:fill="A5A5A5" w:themeFill="accent3"/>
            <w:vAlign w:val="center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7078">
              <w:rPr>
                <w:rFonts w:asciiTheme="minorHAnsi" w:hAnsiTheme="minorHAnsi" w:cstheme="minorHAnsi"/>
                <w:b/>
              </w:rPr>
              <w:t>10-Year Total Cost</w:t>
            </w:r>
          </w:p>
        </w:tc>
      </w:tr>
      <w:tr w:rsidR="002C122B" w:rsidRPr="000E7078" w:rsidTr="0021699C">
        <w:trPr>
          <w:trHeight w:val="549"/>
          <w:jc w:val="center"/>
        </w:trPr>
        <w:tc>
          <w:tcPr>
            <w:tcW w:w="2039" w:type="dxa"/>
            <w:shd w:val="clear" w:color="auto" w:fill="FF0000"/>
            <w:vAlign w:val="center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High</w:t>
            </w:r>
          </w:p>
        </w:tc>
        <w:tc>
          <w:tcPr>
            <w:tcW w:w="2787" w:type="dxa"/>
            <w:vAlign w:val="center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122B" w:rsidRPr="000E7078" w:rsidTr="0021699C">
        <w:trPr>
          <w:trHeight w:val="549"/>
          <w:jc w:val="center"/>
        </w:trPr>
        <w:tc>
          <w:tcPr>
            <w:tcW w:w="2039" w:type="dxa"/>
            <w:shd w:val="clear" w:color="auto" w:fill="FFC000"/>
            <w:vAlign w:val="center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Moderate</w:t>
            </w:r>
          </w:p>
        </w:tc>
        <w:tc>
          <w:tcPr>
            <w:tcW w:w="2787" w:type="dxa"/>
            <w:vAlign w:val="center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122B" w:rsidRPr="000E7078" w:rsidTr="0021699C">
        <w:trPr>
          <w:trHeight w:val="519"/>
          <w:jc w:val="center"/>
        </w:trPr>
        <w:tc>
          <w:tcPr>
            <w:tcW w:w="2039" w:type="dxa"/>
            <w:shd w:val="clear" w:color="auto" w:fill="92D050"/>
            <w:vAlign w:val="center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2787" w:type="dxa"/>
            <w:vAlign w:val="center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122B" w:rsidRPr="000E7078" w:rsidTr="0021699C">
        <w:trPr>
          <w:trHeight w:val="519"/>
          <w:jc w:val="center"/>
        </w:trPr>
        <w:tc>
          <w:tcPr>
            <w:tcW w:w="2039" w:type="dxa"/>
            <w:shd w:val="clear" w:color="auto" w:fill="00B0F0"/>
            <w:vAlign w:val="center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Minimal</w:t>
            </w:r>
          </w:p>
        </w:tc>
        <w:tc>
          <w:tcPr>
            <w:tcW w:w="2787" w:type="dxa"/>
            <w:vAlign w:val="center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C122B" w:rsidRDefault="002C122B" w:rsidP="002C122B">
      <w:pPr>
        <w:rPr>
          <w:rFonts w:cstheme="minorHAnsi"/>
        </w:rPr>
      </w:pPr>
      <w:r>
        <w:rPr>
          <w:rFonts w:cstheme="minorHAnsi"/>
        </w:rPr>
        <w:br/>
      </w:r>
    </w:p>
    <w:p w:rsidR="002C122B" w:rsidRPr="000E7078" w:rsidRDefault="002C122B" w:rsidP="002C122B">
      <w:pPr>
        <w:rPr>
          <w:rFonts w:cstheme="minorHAnsi"/>
        </w:rPr>
      </w:pPr>
      <w:r w:rsidRPr="000E7078">
        <w:rPr>
          <w:rFonts w:cstheme="minorHAnsi"/>
        </w:rPr>
        <w:t>Based on professional judgement and previous experience, estimate the initial</w:t>
      </w:r>
      <w:r>
        <w:rPr>
          <w:rFonts w:cstheme="minorHAnsi"/>
        </w:rPr>
        <w:t xml:space="preserve"> rough order of magnitude</w:t>
      </w:r>
      <w:r w:rsidRPr="000E7078">
        <w:rPr>
          <w:rFonts w:cstheme="minorHAnsi"/>
        </w:rPr>
        <w:t xml:space="preserve"> cost and ongoing annual cost for each of the solutions from the previous </w:t>
      </w:r>
      <w:r>
        <w:rPr>
          <w:rFonts w:cstheme="minorHAnsi"/>
        </w:rPr>
        <w:t>a</w:t>
      </w:r>
      <w:r w:rsidRPr="000E7078">
        <w:rPr>
          <w:rFonts w:cstheme="minorHAnsi"/>
        </w:rPr>
        <w:t xml:space="preserve">ction. </w:t>
      </w:r>
    </w:p>
    <w:tbl>
      <w:tblPr>
        <w:tblStyle w:val="TableGrid"/>
        <w:tblW w:w="6979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3114"/>
        <w:gridCol w:w="1427"/>
        <w:gridCol w:w="1363"/>
      </w:tblGrid>
      <w:tr w:rsidR="002C122B" w:rsidRPr="000E7078" w:rsidTr="0021699C">
        <w:trPr>
          <w:trHeight w:val="278"/>
          <w:jc w:val="center"/>
        </w:trPr>
        <w:tc>
          <w:tcPr>
            <w:tcW w:w="1075" w:type="dxa"/>
            <w:shd w:val="clear" w:color="auto" w:fill="AEAAAA" w:themeFill="background2" w:themeFillShade="BF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7078">
              <w:rPr>
                <w:rFonts w:asciiTheme="minorHAnsi" w:hAnsiTheme="minorHAnsi" w:cstheme="minorHAnsi"/>
                <w:b/>
              </w:rPr>
              <w:t xml:space="preserve">Solution </w:t>
            </w:r>
          </w:p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7078">
              <w:rPr>
                <w:rFonts w:asciiTheme="minorHAnsi" w:hAnsiTheme="minorHAnsi" w:cstheme="minorHAnsi"/>
                <w:b/>
              </w:rPr>
              <w:t>#</w:t>
            </w:r>
          </w:p>
        </w:tc>
        <w:tc>
          <w:tcPr>
            <w:tcW w:w="3114" w:type="dxa"/>
            <w:shd w:val="clear" w:color="auto" w:fill="A5A5A5" w:themeFill="accent3"/>
            <w:vAlign w:val="center"/>
          </w:tcPr>
          <w:p w:rsidR="002C122B" w:rsidRPr="000E7078" w:rsidRDefault="002C122B" w:rsidP="0021699C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E7078">
              <w:rPr>
                <w:rFonts w:asciiTheme="minorHAnsi" w:hAnsiTheme="minorHAnsi" w:cstheme="minorHAnsi"/>
                <w:b/>
              </w:rPr>
              <w:t>Solution</w:t>
            </w:r>
          </w:p>
        </w:tc>
        <w:tc>
          <w:tcPr>
            <w:tcW w:w="1427" w:type="dxa"/>
            <w:shd w:val="clear" w:color="auto" w:fill="A5A5A5" w:themeFill="accent3"/>
            <w:vAlign w:val="center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7078">
              <w:rPr>
                <w:rFonts w:asciiTheme="minorHAnsi" w:hAnsiTheme="minorHAnsi" w:cstheme="minorHAnsi"/>
                <w:b/>
              </w:rPr>
              <w:t>Estimated Initial Cost</w:t>
            </w:r>
          </w:p>
        </w:tc>
        <w:tc>
          <w:tcPr>
            <w:tcW w:w="1363" w:type="dxa"/>
            <w:shd w:val="clear" w:color="auto" w:fill="A5A5A5" w:themeFill="accent3"/>
            <w:vAlign w:val="center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7078">
              <w:rPr>
                <w:rFonts w:asciiTheme="minorHAnsi" w:hAnsiTheme="minorHAnsi" w:cstheme="minorHAnsi"/>
                <w:b/>
              </w:rPr>
              <w:t>Estimated Ongoing Annual Cost</w:t>
            </w:r>
          </w:p>
        </w:tc>
      </w:tr>
      <w:tr w:rsidR="002C122B" w:rsidRPr="000E7078" w:rsidTr="0021699C">
        <w:trPr>
          <w:trHeight w:val="1276"/>
          <w:jc w:val="center"/>
        </w:trPr>
        <w:tc>
          <w:tcPr>
            <w:tcW w:w="1075" w:type="dxa"/>
            <w:shd w:val="clear" w:color="auto" w:fill="E7E6E6" w:themeFill="background2"/>
            <w:vAlign w:val="center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iCs/>
                <w:color w:val="FF0000"/>
              </w:rPr>
            </w:pPr>
            <w:r w:rsidRPr="000E7078">
              <w:rPr>
                <w:rFonts w:asciiTheme="minorHAnsi" w:hAnsiTheme="minorHAnsi" w:cstheme="minorHAnsi"/>
                <w:iCs/>
                <w:color w:val="FF0000"/>
              </w:rPr>
              <w:t>1</w:t>
            </w:r>
          </w:p>
        </w:tc>
        <w:tc>
          <w:tcPr>
            <w:tcW w:w="3114" w:type="dxa"/>
            <w:shd w:val="clear" w:color="auto" w:fill="E7E6E6" w:themeFill="background2"/>
            <w:vAlign w:val="center"/>
          </w:tcPr>
          <w:p w:rsidR="002C122B" w:rsidRPr="000E7078" w:rsidRDefault="002C122B" w:rsidP="0021699C">
            <w:pPr>
              <w:spacing w:line="259" w:lineRule="auto"/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0E7078">
              <w:rPr>
                <w:rFonts w:asciiTheme="minorHAnsi" w:hAnsiTheme="minorHAnsi" w:cstheme="minorHAnsi"/>
                <w:i/>
                <w:iCs/>
                <w:color w:val="FF0000"/>
              </w:rPr>
              <w:t>Relocate the current facility to avoid predicted increases in storm surge inundation and associated repetitive damages and los</w:t>
            </w:r>
            <w:r>
              <w:rPr>
                <w:rFonts w:asciiTheme="minorHAnsi" w:hAnsiTheme="minorHAnsi" w:cstheme="minorHAnsi"/>
                <w:i/>
                <w:iCs/>
                <w:color w:val="FF0000"/>
              </w:rPr>
              <w:t>s</w:t>
            </w:r>
            <w:r w:rsidRPr="000E7078">
              <w:rPr>
                <w:rFonts w:asciiTheme="minorHAnsi" w:hAnsiTheme="minorHAnsi" w:cstheme="minorHAnsi"/>
                <w:i/>
                <w:iCs/>
                <w:color w:val="FF0000"/>
              </w:rPr>
              <w:t>es.</w:t>
            </w:r>
          </w:p>
        </w:tc>
        <w:tc>
          <w:tcPr>
            <w:tcW w:w="1427" w:type="dxa"/>
            <w:shd w:val="clear" w:color="auto" w:fill="E7E6E6" w:themeFill="background2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  <w:tc>
          <w:tcPr>
            <w:tcW w:w="1363" w:type="dxa"/>
            <w:shd w:val="clear" w:color="auto" w:fill="E7E6E6" w:themeFill="background2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</w:tr>
      <w:tr w:rsidR="002C122B" w:rsidRPr="000E7078" w:rsidTr="0021699C">
        <w:trPr>
          <w:trHeight w:val="278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14" w:type="dxa"/>
            <w:vAlign w:val="center"/>
          </w:tcPr>
          <w:p w:rsidR="002C122B" w:rsidRPr="000E7078" w:rsidRDefault="002C122B" w:rsidP="0021699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122B" w:rsidRPr="000E7078" w:rsidTr="0021699C">
        <w:trPr>
          <w:trHeight w:val="263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14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122B" w:rsidRPr="000E7078" w:rsidTr="0021699C">
        <w:trPr>
          <w:trHeight w:val="263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114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122B" w:rsidRPr="000E7078" w:rsidTr="0021699C">
        <w:trPr>
          <w:trHeight w:val="248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14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122B" w:rsidRPr="000E7078" w:rsidTr="0021699C">
        <w:trPr>
          <w:trHeight w:val="263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114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122B" w:rsidRPr="000E7078" w:rsidTr="0021699C">
        <w:trPr>
          <w:trHeight w:val="248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114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122B" w:rsidRPr="000E7078" w:rsidTr="0021699C">
        <w:trPr>
          <w:trHeight w:val="263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114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122B" w:rsidRPr="000E7078" w:rsidTr="0021699C">
        <w:trPr>
          <w:trHeight w:val="248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114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122B" w:rsidRPr="000E7078" w:rsidTr="0021699C">
        <w:trPr>
          <w:trHeight w:val="263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14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122B" w:rsidRPr="000E7078" w:rsidTr="0021699C">
        <w:trPr>
          <w:trHeight w:val="263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114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122B" w:rsidRPr="000E7078" w:rsidTr="0021699C">
        <w:trPr>
          <w:trHeight w:val="248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114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122B" w:rsidRPr="000E7078" w:rsidTr="0021699C">
        <w:trPr>
          <w:trHeight w:val="263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114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2C122B" w:rsidRPr="000E7078" w:rsidRDefault="002C122B" w:rsidP="0021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122B" w:rsidRPr="000E7078" w:rsidTr="0021699C">
        <w:trPr>
          <w:trHeight w:val="248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114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122B" w:rsidRPr="000E7078" w:rsidTr="0021699C">
        <w:trPr>
          <w:trHeight w:val="263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114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122B" w:rsidRPr="000E7078" w:rsidTr="0021699C">
        <w:trPr>
          <w:trHeight w:val="248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114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122B" w:rsidRPr="000E7078" w:rsidTr="0021699C">
        <w:trPr>
          <w:trHeight w:val="263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114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122B" w:rsidRPr="000E7078" w:rsidTr="0021699C">
        <w:trPr>
          <w:trHeight w:val="263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lastRenderedPageBreak/>
              <w:t>18</w:t>
            </w:r>
          </w:p>
        </w:tc>
        <w:tc>
          <w:tcPr>
            <w:tcW w:w="3114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122B" w:rsidRPr="000E7078" w:rsidTr="0021699C">
        <w:trPr>
          <w:trHeight w:val="248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114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122B" w:rsidRPr="000E7078" w:rsidTr="0021699C">
        <w:trPr>
          <w:trHeight w:val="263"/>
          <w:jc w:val="center"/>
        </w:trPr>
        <w:tc>
          <w:tcPr>
            <w:tcW w:w="1075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  <w:r w:rsidRPr="000E707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114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2C122B" w:rsidRPr="000E7078" w:rsidRDefault="002C122B" w:rsidP="00216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C122B" w:rsidRPr="000E7078" w:rsidRDefault="002C122B" w:rsidP="002C122B">
      <w:pPr>
        <w:rPr>
          <w:rFonts w:cstheme="minorHAnsi"/>
          <w:b/>
          <w:bCs/>
        </w:rPr>
      </w:pPr>
    </w:p>
    <w:p w:rsidR="002C122B" w:rsidRPr="001A5459" w:rsidRDefault="002C122B" w:rsidP="002C122B">
      <w:pPr>
        <w:rPr>
          <w:rFonts w:cstheme="minorHAnsi"/>
        </w:rPr>
      </w:pPr>
      <w:r>
        <w:rPr>
          <w:rFonts w:cstheme="minorHAnsi"/>
        </w:rPr>
        <w:t>For offline users, t</w:t>
      </w:r>
      <w:r w:rsidRPr="000E7078">
        <w:rPr>
          <w:rFonts w:cstheme="minorHAnsi"/>
        </w:rPr>
        <w:t xml:space="preserve">hese tables are used as an input into the Solution Prioritization Excel </w:t>
      </w:r>
      <w:r>
        <w:rPr>
          <w:rFonts w:cstheme="minorHAnsi"/>
        </w:rPr>
        <w:t>file</w:t>
      </w:r>
      <w:r w:rsidRPr="000E7078">
        <w:rPr>
          <w:rFonts w:cstheme="minorHAnsi"/>
        </w:rPr>
        <w:t xml:space="preserve"> (</w:t>
      </w:r>
      <w:r w:rsidRPr="005E04A0">
        <w:rPr>
          <w:rFonts w:cstheme="minorHAnsi"/>
          <w:b/>
          <w:color w:val="5B9BD5" w:themeColor="accent1"/>
          <w:u w:val="double"/>
        </w:rPr>
        <w:t>Tab 4</w:t>
      </w:r>
      <w:r w:rsidRPr="000E7078">
        <w:rPr>
          <w:rFonts w:cstheme="minorHAnsi"/>
        </w:rPr>
        <w:t>) to automatically categorize solutions by cost alongside risk reduction</w:t>
      </w:r>
      <w:r>
        <w:rPr>
          <w:rFonts w:cstheme="minorHAnsi"/>
        </w:rPr>
        <w:t xml:space="preserve"> potential</w:t>
      </w:r>
      <w:r w:rsidRPr="000E7078">
        <w:rPr>
          <w:rFonts w:cstheme="minorHAnsi"/>
        </w:rPr>
        <w:t xml:space="preserve"> and other prioritization criteria developed above.</w:t>
      </w:r>
    </w:p>
    <w:p w:rsidR="00C37172" w:rsidRPr="002C122B" w:rsidRDefault="00C37172" w:rsidP="002C122B"/>
    <w:sectPr w:rsidR="00C37172" w:rsidRPr="002C12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9EB" w:rsidRDefault="00AC79EB" w:rsidP="00E42FB3">
      <w:pPr>
        <w:spacing w:after="0" w:line="240" w:lineRule="auto"/>
      </w:pPr>
      <w:r>
        <w:separator/>
      </w:r>
    </w:p>
  </w:endnote>
  <w:endnote w:type="continuationSeparator" w:id="0">
    <w:p w:rsidR="00AC79EB" w:rsidRDefault="00AC79EB" w:rsidP="00E4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6E" w:rsidRDefault="00E02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57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FB3" w:rsidRDefault="000B6AFD" w:rsidP="000B6AFD">
        <w:pPr>
          <w:pStyle w:val="Footer"/>
        </w:pPr>
        <w:r>
          <w:tab/>
        </w:r>
        <w:r w:rsidR="00E42FB3">
          <w:fldChar w:fldCharType="begin"/>
        </w:r>
        <w:r w:rsidR="00E42FB3">
          <w:instrText xml:space="preserve"> PAGE   \* MERGEFORMAT </w:instrText>
        </w:r>
        <w:r w:rsidR="00E42FB3">
          <w:fldChar w:fldCharType="separate"/>
        </w:r>
        <w:r w:rsidR="00E0226E">
          <w:rPr>
            <w:noProof/>
          </w:rPr>
          <w:t>1</w:t>
        </w:r>
        <w:r w:rsidR="00E42FB3">
          <w:rPr>
            <w:noProof/>
          </w:rPr>
          <w:fldChar w:fldCharType="end"/>
        </w:r>
      </w:p>
    </w:sdtContent>
  </w:sdt>
  <w:p w:rsidR="00E42FB3" w:rsidRDefault="00E42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6E" w:rsidRDefault="00E02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9EB" w:rsidRDefault="00AC79EB" w:rsidP="00E42FB3">
      <w:pPr>
        <w:spacing w:after="0" w:line="240" w:lineRule="auto"/>
      </w:pPr>
      <w:r>
        <w:separator/>
      </w:r>
    </w:p>
  </w:footnote>
  <w:footnote w:type="continuationSeparator" w:id="0">
    <w:p w:rsidR="00AC79EB" w:rsidRDefault="00AC79EB" w:rsidP="00E4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6E" w:rsidRDefault="00E02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B3" w:rsidRDefault="00E42FB3">
    <w:pPr>
      <w:pStyle w:val="Header"/>
    </w:pPr>
    <w:bookmarkStart w:id="0" w:name="_GoBack"/>
    <w:r>
      <w:rPr>
        <w:noProof/>
      </w:rPr>
      <w:drawing>
        <wp:inline distT="0" distB="0" distL="0" distR="0" wp14:anchorId="6824B53F" wp14:editId="634A2653">
          <wp:extent cx="1304925" cy="4591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38659" cy="47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r>
      <w:tab/>
    </w:r>
    <w:r w:rsidRPr="00E42FB3">
      <w:rPr>
        <w:sz w:val="32"/>
      </w:rPr>
      <w:t>Technical Resilience Navigator</w:t>
    </w:r>
  </w:p>
  <w:p w:rsidR="00E42FB3" w:rsidRDefault="00E42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6E" w:rsidRDefault="00E02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041"/>
    <w:multiLevelType w:val="multilevel"/>
    <w:tmpl w:val="7556089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411C7F"/>
    <w:multiLevelType w:val="hybridMultilevel"/>
    <w:tmpl w:val="F5D8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CDF"/>
    <w:multiLevelType w:val="hybridMultilevel"/>
    <w:tmpl w:val="0A8AB53E"/>
    <w:lvl w:ilvl="0" w:tplc="0409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240C"/>
    <w:multiLevelType w:val="hybridMultilevel"/>
    <w:tmpl w:val="F25C349E"/>
    <w:lvl w:ilvl="0" w:tplc="0409000F">
      <w:start w:val="1"/>
      <w:numFmt w:val="decimal"/>
      <w:lvlText w:val="%1."/>
      <w:lvlJc w:val="left"/>
      <w:pPr>
        <w:ind w:left="274" w:hanging="360"/>
      </w:p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5" w15:restartNumberingAfterBreak="0">
    <w:nsid w:val="268336A7"/>
    <w:multiLevelType w:val="hybridMultilevel"/>
    <w:tmpl w:val="DE58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B1B"/>
    <w:multiLevelType w:val="hybridMultilevel"/>
    <w:tmpl w:val="B9DA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06AA2"/>
    <w:multiLevelType w:val="hybridMultilevel"/>
    <w:tmpl w:val="03CE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6D50594B"/>
    <w:multiLevelType w:val="hybridMultilevel"/>
    <w:tmpl w:val="18802CC8"/>
    <w:lvl w:ilvl="0" w:tplc="BB2C33D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B3"/>
    <w:rsid w:val="000124EC"/>
    <w:rsid w:val="00014F1E"/>
    <w:rsid w:val="00025688"/>
    <w:rsid w:val="00033550"/>
    <w:rsid w:val="000415B9"/>
    <w:rsid w:val="00046FF1"/>
    <w:rsid w:val="00082BB9"/>
    <w:rsid w:val="00090911"/>
    <w:rsid w:val="00096B1B"/>
    <w:rsid w:val="000A77B7"/>
    <w:rsid w:val="000B6AFD"/>
    <w:rsid w:val="000C68EE"/>
    <w:rsid w:val="00110FB4"/>
    <w:rsid w:val="00122270"/>
    <w:rsid w:val="0014469A"/>
    <w:rsid w:val="00154EED"/>
    <w:rsid w:val="00170CFB"/>
    <w:rsid w:val="00171DB0"/>
    <w:rsid w:val="00182958"/>
    <w:rsid w:val="001E7C29"/>
    <w:rsid w:val="002275B1"/>
    <w:rsid w:val="0024393F"/>
    <w:rsid w:val="0026068D"/>
    <w:rsid w:val="002638EF"/>
    <w:rsid w:val="002667CB"/>
    <w:rsid w:val="002720B7"/>
    <w:rsid w:val="002736D1"/>
    <w:rsid w:val="00274591"/>
    <w:rsid w:val="00283180"/>
    <w:rsid w:val="002C122B"/>
    <w:rsid w:val="002F0EB6"/>
    <w:rsid w:val="00325CCF"/>
    <w:rsid w:val="00333CAF"/>
    <w:rsid w:val="0034734D"/>
    <w:rsid w:val="003502DA"/>
    <w:rsid w:val="00355181"/>
    <w:rsid w:val="00380447"/>
    <w:rsid w:val="003A177E"/>
    <w:rsid w:val="00405FC1"/>
    <w:rsid w:val="004103D3"/>
    <w:rsid w:val="00440911"/>
    <w:rsid w:val="0045678F"/>
    <w:rsid w:val="00470BB3"/>
    <w:rsid w:val="00475322"/>
    <w:rsid w:val="004D0596"/>
    <w:rsid w:val="004E5F76"/>
    <w:rsid w:val="004F0B36"/>
    <w:rsid w:val="005166BA"/>
    <w:rsid w:val="005266DA"/>
    <w:rsid w:val="00543378"/>
    <w:rsid w:val="005515A7"/>
    <w:rsid w:val="00573C08"/>
    <w:rsid w:val="005962E2"/>
    <w:rsid w:val="00596DFA"/>
    <w:rsid w:val="005B3F91"/>
    <w:rsid w:val="005D7083"/>
    <w:rsid w:val="0061482C"/>
    <w:rsid w:val="00623572"/>
    <w:rsid w:val="006264C7"/>
    <w:rsid w:val="00626EDD"/>
    <w:rsid w:val="00641B98"/>
    <w:rsid w:val="00692DD0"/>
    <w:rsid w:val="00694A3B"/>
    <w:rsid w:val="0069585C"/>
    <w:rsid w:val="00695DEA"/>
    <w:rsid w:val="00696686"/>
    <w:rsid w:val="006A42FC"/>
    <w:rsid w:val="006A52CF"/>
    <w:rsid w:val="006A7A72"/>
    <w:rsid w:val="006C654D"/>
    <w:rsid w:val="006C6710"/>
    <w:rsid w:val="006C71D2"/>
    <w:rsid w:val="006F4770"/>
    <w:rsid w:val="00707D98"/>
    <w:rsid w:val="00717BBC"/>
    <w:rsid w:val="0072687A"/>
    <w:rsid w:val="00735B8B"/>
    <w:rsid w:val="007406BC"/>
    <w:rsid w:val="00780548"/>
    <w:rsid w:val="00780775"/>
    <w:rsid w:val="007856C3"/>
    <w:rsid w:val="00791158"/>
    <w:rsid w:val="007B0B5B"/>
    <w:rsid w:val="007B2C7F"/>
    <w:rsid w:val="007B43F2"/>
    <w:rsid w:val="007C1C34"/>
    <w:rsid w:val="007D6357"/>
    <w:rsid w:val="007E30AC"/>
    <w:rsid w:val="007E6442"/>
    <w:rsid w:val="007F046F"/>
    <w:rsid w:val="007F7954"/>
    <w:rsid w:val="00807F1C"/>
    <w:rsid w:val="00817E37"/>
    <w:rsid w:val="008258DD"/>
    <w:rsid w:val="00835942"/>
    <w:rsid w:val="008377CC"/>
    <w:rsid w:val="008542D2"/>
    <w:rsid w:val="00856205"/>
    <w:rsid w:val="008646F1"/>
    <w:rsid w:val="008746E8"/>
    <w:rsid w:val="00884AED"/>
    <w:rsid w:val="008879EB"/>
    <w:rsid w:val="00890DBD"/>
    <w:rsid w:val="00891DDD"/>
    <w:rsid w:val="008A12F5"/>
    <w:rsid w:val="008A3CCD"/>
    <w:rsid w:val="008B67D5"/>
    <w:rsid w:val="008B752E"/>
    <w:rsid w:val="0092444E"/>
    <w:rsid w:val="009445B1"/>
    <w:rsid w:val="00970E81"/>
    <w:rsid w:val="00973C9A"/>
    <w:rsid w:val="009751DA"/>
    <w:rsid w:val="009847F8"/>
    <w:rsid w:val="00986DE3"/>
    <w:rsid w:val="009E4DE0"/>
    <w:rsid w:val="009F1C2A"/>
    <w:rsid w:val="00A75209"/>
    <w:rsid w:val="00A8531B"/>
    <w:rsid w:val="00A86A33"/>
    <w:rsid w:val="00AC79EB"/>
    <w:rsid w:val="00AD5260"/>
    <w:rsid w:val="00AE3BD1"/>
    <w:rsid w:val="00AE5018"/>
    <w:rsid w:val="00B015A6"/>
    <w:rsid w:val="00B059E2"/>
    <w:rsid w:val="00B2012F"/>
    <w:rsid w:val="00B35FCE"/>
    <w:rsid w:val="00B874A2"/>
    <w:rsid w:val="00BC586D"/>
    <w:rsid w:val="00BF04FD"/>
    <w:rsid w:val="00BF4F26"/>
    <w:rsid w:val="00BF55B7"/>
    <w:rsid w:val="00C04195"/>
    <w:rsid w:val="00C35C65"/>
    <w:rsid w:val="00C37172"/>
    <w:rsid w:val="00C61D7D"/>
    <w:rsid w:val="00C70EB3"/>
    <w:rsid w:val="00C80ED5"/>
    <w:rsid w:val="00CB4A7E"/>
    <w:rsid w:val="00CF2084"/>
    <w:rsid w:val="00D06C5B"/>
    <w:rsid w:val="00D1166D"/>
    <w:rsid w:val="00D15212"/>
    <w:rsid w:val="00D1796F"/>
    <w:rsid w:val="00D33ED2"/>
    <w:rsid w:val="00D36EF2"/>
    <w:rsid w:val="00D42AFF"/>
    <w:rsid w:val="00D44453"/>
    <w:rsid w:val="00D541D0"/>
    <w:rsid w:val="00D56DF4"/>
    <w:rsid w:val="00D622F9"/>
    <w:rsid w:val="00D766A5"/>
    <w:rsid w:val="00D81905"/>
    <w:rsid w:val="00DC0993"/>
    <w:rsid w:val="00DD1B5F"/>
    <w:rsid w:val="00DD75F3"/>
    <w:rsid w:val="00DE69C5"/>
    <w:rsid w:val="00DF3BF5"/>
    <w:rsid w:val="00E0226E"/>
    <w:rsid w:val="00E127B4"/>
    <w:rsid w:val="00E37CD6"/>
    <w:rsid w:val="00E42FB3"/>
    <w:rsid w:val="00E57AD2"/>
    <w:rsid w:val="00E57DD3"/>
    <w:rsid w:val="00E7037D"/>
    <w:rsid w:val="00E705F4"/>
    <w:rsid w:val="00E80BF2"/>
    <w:rsid w:val="00E903FA"/>
    <w:rsid w:val="00EA3A97"/>
    <w:rsid w:val="00EA448A"/>
    <w:rsid w:val="00EB1557"/>
    <w:rsid w:val="00EC6326"/>
    <w:rsid w:val="00ED005D"/>
    <w:rsid w:val="00ED48EF"/>
    <w:rsid w:val="00EF0D04"/>
    <w:rsid w:val="00F303D5"/>
    <w:rsid w:val="00F36590"/>
    <w:rsid w:val="00F5488D"/>
    <w:rsid w:val="00F605CC"/>
    <w:rsid w:val="00F6606F"/>
    <w:rsid w:val="00F71647"/>
    <w:rsid w:val="00FA3ABD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A626D-4D2E-46AC-8225-E548CE86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2B"/>
  </w:style>
  <w:style w:type="paragraph" w:styleId="Heading1">
    <w:name w:val="heading 1"/>
    <w:basedOn w:val="Normal"/>
    <w:next w:val="Normal"/>
    <w:link w:val="Heading1Char"/>
    <w:uiPriority w:val="9"/>
    <w:qFormat/>
    <w:rsid w:val="00807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RELBodyText">
    <w:name w:val="NREL_Body_Text"/>
    <w:link w:val="NRELBodyTextCharChar"/>
    <w:qFormat/>
    <w:rsid w:val="00E42FB3"/>
    <w:pPr>
      <w:spacing w:after="240" w:line="240" w:lineRule="auto"/>
    </w:pPr>
    <w:rPr>
      <w:rFonts w:ascii="Times New Roman" w:eastAsia="Times" w:hAnsi="Times New Roman" w:cs="Times New Roman"/>
      <w:color w:val="000000" w:themeColor="text1"/>
      <w:sz w:val="24"/>
      <w:szCs w:val="20"/>
    </w:rPr>
  </w:style>
  <w:style w:type="character" w:customStyle="1" w:styleId="NRELBodyTextCharChar">
    <w:name w:val="NREL_Body_Text Char Char"/>
    <w:basedOn w:val="DefaultParagraphFont"/>
    <w:link w:val="NRELBodyText"/>
    <w:rsid w:val="00E42FB3"/>
    <w:rPr>
      <w:rFonts w:ascii="Times New Roman" w:eastAsia="Times" w:hAnsi="Times New Roman" w:cs="Times New Roman"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rsid w:val="00E4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4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B3"/>
  </w:style>
  <w:style w:type="paragraph" w:styleId="Footer">
    <w:name w:val="footer"/>
    <w:basedOn w:val="Normal"/>
    <w:link w:val="FooterChar"/>
    <w:uiPriority w:val="99"/>
    <w:unhideWhenUsed/>
    <w:rsid w:val="00E4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B3"/>
  </w:style>
  <w:style w:type="paragraph" w:styleId="BalloonText">
    <w:name w:val="Balloon Text"/>
    <w:basedOn w:val="Normal"/>
    <w:link w:val="BalloonTextChar"/>
    <w:uiPriority w:val="99"/>
    <w:semiHidden/>
    <w:unhideWhenUsed/>
    <w:rsid w:val="0080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1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07F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7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7F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7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F1C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07F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20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0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5FC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A448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66BA"/>
    <w:rPr>
      <w:color w:val="808080"/>
    </w:rPr>
  </w:style>
  <w:style w:type="paragraph" w:customStyle="1" w:styleId="NRELTableCaption">
    <w:name w:val="NREL_Table_Caption"/>
    <w:basedOn w:val="Caption"/>
    <w:next w:val="NRELBodyText"/>
    <w:qFormat/>
    <w:rsid w:val="00780775"/>
    <w:pPr>
      <w:keepNext/>
      <w:autoSpaceDE w:val="0"/>
      <w:autoSpaceDN w:val="0"/>
      <w:adjustRightInd w:val="0"/>
      <w:spacing w:before="120" w:after="120"/>
      <w:jc w:val="center"/>
    </w:pPr>
    <w:rPr>
      <w:rFonts w:ascii="Arial" w:eastAsia="Times" w:hAnsi="Arial" w:cs="Times New Roman"/>
      <w:b/>
      <w:bCs/>
      <w:i w:val="0"/>
      <w:color w:val="000000" w:themeColor="text1"/>
      <w:sz w:val="20"/>
    </w:rPr>
  </w:style>
  <w:style w:type="paragraph" w:customStyle="1" w:styleId="NRELBullet01">
    <w:name w:val="NREL_Bullet_01"/>
    <w:basedOn w:val="ListBullet"/>
    <w:qFormat/>
    <w:rsid w:val="008646F1"/>
    <w:pPr>
      <w:numPr>
        <w:numId w:val="0"/>
      </w:numPr>
      <w:spacing w:after="120" w:line="240" w:lineRule="auto"/>
      <w:ind w:left="720" w:hanging="360"/>
    </w:pPr>
    <w:rPr>
      <w:rFonts w:ascii="Times New Roman" w:eastAsia="Times" w:hAnsi="Times New Roman" w:cs="Times New Roman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8646F1"/>
    <w:pPr>
      <w:numPr>
        <w:numId w:val="9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9b406-8ab6-4e35-b189-c607f551e6ff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C8BCB51422E4B914852FD1E00CB69" ma:contentTypeVersion="2" ma:contentTypeDescription="Create a new document." ma:contentTypeScope="" ma:versionID="ec4d5bf0f7da77935852d858b2fc2194">
  <xsd:schema xmlns:xsd="http://www.w3.org/2001/XMLSchema" xmlns:xs="http://www.w3.org/2001/XMLSchema" xmlns:p="http://schemas.microsoft.com/office/2006/metadata/properties" xmlns:ns1="http://schemas.microsoft.com/sharepoint/v3" xmlns:ns2="c6d9b406-8ab6-4e35-b189-c607f551e6ff" xmlns:ns3="80a655c7-1507-4e4d-8a9d-5a4fea12343b" targetNamespace="http://schemas.microsoft.com/office/2006/metadata/properties" ma:root="true" ma:fieldsID="e1c3c8b5c56a885980a51eeb3e79ae18" ns1:_="" ns2:_="" ns3:_="">
    <xsd:import namespace="http://schemas.microsoft.com/sharepoint/v3"/>
    <xsd:import namespace="c6d9b406-8ab6-4e35-b189-c607f551e6ff"/>
    <xsd:import namespace="80a655c7-1507-4e4d-8a9d-5a4fea1234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b406-8ab6-4e35-b189-c607f551e6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3294bc7c-0fe9-4446-b8bf-d1059457b626}" ma:internalName="TaxCatchAll" ma:showField="CatchAllData" ma:web="80a655c7-1507-4e4d-8a9d-5a4fea123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3294bc7c-0fe9-4446-b8bf-d1059457b626}" ma:internalName="TaxCatchAllLabel" ma:readOnly="true" ma:showField="CatchAllDataLabel" ma:web="80a655c7-1507-4e4d-8a9d-5a4fea123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55c7-1507-4e4d-8a9d-5a4fea123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11FF8-58CC-4466-BAD8-FCE5FB6054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04CE582-0D94-44B5-9345-6BA496E75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0CCBA-27A2-4618-BF41-898A86971EF9}">
  <ds:schemaRefs>
    <ds:schemaRef ds:uri="http://schemas.microsoft.com/office/2006/metadata/properties"/>
    <ds:schemaRef ds:uri="http://schemas.microsoft.com/office/infopath/2007/PartnerControls"/>
    <ds:schemaRef ds:uri="c6d9b406-8ab6-4e35-b189-c607f551e6f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C70C6F-A4EC-4517-BE76-8E2E41868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b406-8ab6-4e35-b189-c607f551e6ff"/>
    <ds:schemaRef ds:uri="80a655c7-1507-4e4d-8a9d-5a4fea123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Hampson, Anne</dc:creator>
  <cp:keywords/>
  <dc:description/>
  <cp:lastModifiedBy>Michael Muller</cp:lastModifiedBy>
  <cp:revision>4</cp:revision>
  <dcterms:created xsi:type="dcterms:W3CDTF">2020-07-23T00:05:00Z</dcterms:created>
  <dcterms:modified xsi:type="dcterms:W3CDTF">2020-07-26T16:58:00Z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0x010100AF7C8BCB51422E4B914852FD1E00CB69</vt:lpwstr>
  </property>
</Properties>
</file>